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3246D" w14:textId="37E9478D" w:rsidR="00350D93" w:rsidRDefault="00350D93" w:rsidP="00350D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LITERATURE REVIEW - </w:t>
      </w:r>
      <w:r w:rsidRPr="00350D93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3A86FBFC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fldChar w:fldCharType="begin" w:fldLock="1"/>
      </w:r>
      <w:r w:rsidRPr="00350D93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instrText xml:space="preserve">ADDIN Mendeley Bibliography CSL_BIBLIOGRAPHY </w:instrText>
      </w:r>
      <w:r w:rsidRPr="00350D93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fldChar w:fldCharType="separate"/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M. Afifa Khatun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et al.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“Gamma radiation processing of honey of Mustard, Black seed and Lychee flower: Measurement of antioxidant, antimicrobial, and Fourier transform infrared (FT-IR) spectra,”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Meas. Food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6, p. 100026, 2022.</w:t>
      </w:r>
    </w:p>
    <w:p w14:paraId="677DB35C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H. Scepankova, C. A. Pinto, L. M. Estevinho, and J. A. Saraiva, “High-Pressure-Based Strategies for the Inactivation of Bacillus subtilis Endospores in Honey.,”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Molecules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27, no. 18, Sep. 2022.</w:t>
      </w:r>
    </w:p>
    <w:p w14:paraId="5C56AED5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[3]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A. Bera, L. B. Almeida-Muradian, and S. F. Sabato, “Effect of gamma radiation on honey quality control,”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Radiat. Phys. Chem.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78, no. 7–8, pp. 583–584, 2009.</w:t>
      </w:r>
    </w:p>
    <w:p w14:paraId="6F57EDCF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[5]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S. Z. Hussein, K. M. Yusoff, S. Makpol, and Y. A. M. Yusof, “Does gamma irradiation affect physicochemical properties of honey?,”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Clin. Ter.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165, no. 2, 2014.</w:t>
      </w:r>
    </w:p>
    <w:p w14:paraId="1B4B0348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[6]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M. Horniackova, M. Bucekova, I. Valachova, and J. Majtan, “Effect of gamma radiation on the antibacterial and antibiofilm activity of honeydew honey,”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Eur. Food Res. Technol.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243, no. 1, pp. 81–88, 2017.</w:t>
      </w:r>
    </w:p>
    <w:p w14:paraId="27C995FC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[7]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M. I. Khalil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et al.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“Gamma irradiation increases the antioxidant properties of tualang honey stored under different conditions,”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Molecules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17, no. 1, pp. 674–687, 2012.</w:t>
      </w:r>
    </w:p>
    <w:p w14:paraId="7B8B9A31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[8]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>R. B. Mladenova, N. Y. Solakov, and K. K. Loginovska, “Irradiation effects on phenolic content in Bulgarian honey bee products and correlation to the antioxidant activity,” vol. 111, no. 7, pp. 583–588, 2023.</w:t>
      </w:r>
    </w:p>
    <w:p w14:paraId="35A74C1A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[9]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A. H. Matsuda and S. F. Sabato, “Effect of irradiation on Brazilian honeys’ consistency and their acceptability,”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Radiat. Phys. Chem.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71, no. 1, pp. 109–112, 2004.</w:t>
      </w:r>
    </w:p>
    <w:p w14:paraId="6E1F567D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[10]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S. Saxena, D. Kumar Maurya, S. Gautam, and A. Sharma, “Effect of radiation hygienization of honey on its health protective properties,”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Food Biosci.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8, pp. 14–21, 2014.</w:t>
      </w:r>
    </w:p>
    <w:p w14:paraId="4345D978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[11]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P. C. Molan and K. L. Allen, “The Effect of Gamma-irradiation on the Antibacterial Activity of Honey,”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J. Pharm. Pharmacol.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48, no. 11, pp. 1206–1209, 1996.</w:t>
      </w:r>
    </w:p>
    <w:p w14:paraId="69B4A556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[12]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T. Ujilestari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et al.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“A meta-analysis of the effects of gamma irradiation on biochemical and physical characteristics of honey,”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IOP Conf. Ser. Earth Environ. Sci.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1230, no. 1, p. 12053, 2023.</w:t>
      </w:r>
    </w:p>
    <w:p w14:paraId="5237BECA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[13]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I. M. Tork, S. Rashad, M. A. Atwa, and S. A. Farag, “Comparing the effects of gamma irradiation and thermal processing on unavoidable toxic substances in Egyptian honey,”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Egypt. J. Chem.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66, no. 12, pp. 37–44, 2023.</w:t>
      </w:r>
    </w:p>
    <w:p w14:paraId="3F9F3076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[14]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S. Saxena, L. Panicker, and S. Gautam, “Rheology of Indian honey: Effect of temperature and gamma radiation,”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Int. J. Food Sci.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2014, 2014.</w:t>
      </w:r>
    </w:p>
    <w:p w14:paraId="5912F9FB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[15]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>K. Sridhar and R. Bhat, “Electron beam irradiation – An emerging technology for fungal decontamination of food and agricultural commodities,” 2008, pp. 271–303.</w:t>
      </w:r>
    </w:p>
    <w:p w14:paraId="480CE73A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[16]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W. Migdał, H. B. Owczarczyk, B. Kędzia, E. Hołderna-Kędzia, and D. Madajczyk, “Microbiological decontamination of natural honey by irradiation,”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Radiat. Phys. Chem.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57, no. 3, pp. 285–288, 2000.</w:t>
      </w:r>
    </w:p>
    <w:p w14:paraId="320F7C21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lastRenderedPageBreak/>
        <w:t>[17]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D. Baldos, J. Puno, L. Tolentino, D. R. V. Montefalcon, G. Diano, and C. Asaad, “Radiation sterilization of Honey and Honey-Alginate Wound Dressing from Stingless Bee (Tetragonula biroi) Collected from Sta. Maria, Laguna, Philippines,”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J. Trop. Life Sci.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11, no. 2, pp. 217–223, 2021.</w:t>
      </w:r>
    </w:p>
    <w:p w14:paraId="1719D296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[18]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A. H. Robin Lim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et al.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“Physicochemical Properties of Honey from Contract Beekeepers, Street Vendors and Branded Honey in Sabah, Malaysia.,”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Trop. life Sci. Res.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33, no. 3, pp. 61–83, Sep. 2022.</w:t>
      </w:r>
    </w:p>
    <w:p w14:paraId="54B07ABD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[19]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S. K. T. Seraglio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et al.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“An overview of physicochemical characteristics and health-promoting properties of honeydew honey,”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Food Res. Int.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119, pp. 44–66, 2019.</w:t>
      </w:r>
    </w:p>
    <w:p w14:paraId="116191FC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[20]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R. Fakhlaei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et al.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“The toxic impact of honey adulteration: A review,”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Foods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9, no. 11, pp. 1–21, 2020.</w:t>
      </w:r>
    </w:p>
    <w:p w14:paraId="672A248C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[21]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M. Yayinie, M. Atlabachew, A. Tesfaye, W. Hilluf, C. Reta, and T. Alemneh, “Polyphenols, flavonoids, and antioxidant content of honey coupled with chemometric method: geographical origin classification from Amhara region, Ethiopia,”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Int. J. Food Prop.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25, no. 1, pp. 76–92, Dec. 2022.</w:t>
      </w:r>
    </w:p>
    <w:p w14:paraId="56C8EAF2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[22]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M. Al-Farsi, A. Al-Amri, A. Al-Hadhrami, and S. Al-Belushi, “Color, flavonoids, phenolics and antioxidants of Omani honey,”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Heliyon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4, no. 10, pp. e00874–e00874, Oct. 2018.</w:t>
      </w:r>
    </w:p>
    <w:p w14:paraId="74EA28D1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[23]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I. Lawag, E. Nolden, A. Schaper, L. Lim, and C. Locher, “A Modified Folin-Ciocalteu Assay for the Determination of Total Phenolics Content in Honey,”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Appl. Sci.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13, p. 2135, Feb. 2023.</w:t>
      </w:r>
    </w:p>
    <w:p w14:paraId="562CD123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[24]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M. Pérez, I. Dominguez-López, and R. M. Lamuela-Raventós, “The Chemistry Behind the Folin–Ciocalteu Method for the Estimation of (Poly)phenol Content in Food: Total Phenolic Intake in a Mediterranean Dietary Pattern,”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J. Agric. Food Chem.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71, no. 46, pp. 17543–17553, Nov. 2023.</w:t>
      </w:r>
    </w:p>
    <w:p w14:paraId="10600542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[25]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A. Blainski, G. C. Lopes, and J. C. P. de Mello, “Application and analysis of the folin ciocalteu method for the determination of the total phenolic content from Limonium brasiliense L.,”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Molecules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18, no. 6, pp. 6852–6865, Jun. 2013.</w:t>
      </w:r>
    </w:p>
    <w:p w14:paraId="4EB66AC6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[26]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S. B. Kedare and R. P. Singh, “Genesis and development of DPPH method of antioxidant assay.,”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J. Food Sci. Technol.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48, no. 4, pp. 412–422, Aug. 2011.</w:t>
      </w:r>
    </w:p>
    <w:p w14:paraId="472B17CE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[27]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I. A. Alotibi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et al.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“Floral markers and biological activity of Saudi honey,”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Saudi J. Biol. Sci.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25, no. 7, pp. 1369–1374, 2018.</w:t>
      </w:r>
    </w:p>
    <w:p w14:paraId="5B3D0690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[28]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T. Hatami, S. A. Emami, S. S. Miraghaee, and M. Mojarrab, “Total Phenolic Contents and Antioxidant Activities of Different Extracts and  Fractions from the Aerial Parts of Artemisia biennis Willd.,”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Iran. J. Pharm. Res.  IJPR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13, no. 2, pp. 551–559, 2014.</w:t>
      </w:r>
    </w:p>
    <w:p w14:paraId="4F319C27" w14:textId="77777777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[29]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W. Brand-Williams, M. E. Cuvelier, and C. Berset, “Use of a free radical method to evaluate antioxidant activity,”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LWT - Food Sci. Technol.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28, no. 1, pp. 25–30, 1995.</w:t>
      </w:r>
    </w:p>
    <w:p w14:paraId="38B24106" w14:textId="667ED461" w:rsidR="00350D93" w:rsidRPr="00350D93" w:rsidRDefault="00350D93" w:rsidP="00350D93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[30]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ab/>
        <w:t xml:space="preserve">L. Barbosa-Pereira, I. Angulo, P. Paseiro-Losada, and J. M. Cruz, “Phenolic profile and antioxidant properties of a crude extract obtained from a brewery waste stream,” </w:t>
      </w:r>
      <w:r w:rsidRPr="00350D93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Food Res. Int.</w:t>
      </w:r>
      <w:r w:rsidRPr="00350D93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/>
          <w14:ligatures w14:val="none"/>
        </w:rPr>
        <w:t>, vol. 51, no. 2, pp. 663–669, 2013.</w:t>
      </w:r>
      <w:r w:rsidRPr="00350D93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fldChar w:fldCharType="end"/>
      </w:r>
    </w:p>
    <w:sectPr w:rsidR="00350D93" w:rsidRPr="00350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A9"/>
    <w:rsid w:val="00350D93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8C1A"/>
  <w15:chartTrackingRefBased/>
  <w15:docId w15:val="{5D9CB74F-CAA4-4FF0-A5C1-B5122B5C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Khan</dc:creator>
  <cp:keywords/>
  <dc:description/>
  <cp:lastModifiedBy>Asma Khan</cp:lastModifiedBy>
  <cp:revision>3</cp:revision>
  <dcterms:created xsi:type="dcterms:W3CDTF">2024-03-12T20:43:00Z</dcterms:created>
  <dcterms:modified xsi:type="dcterms:W3CDTF">2024-03-12T20:47:00Z</dcterms:modified>
</cp:coreProperties>
</file>