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5E" w:rsidRDefault="00442D17">
      <w:pPr>
        <w:pStyle w:val="Standard"/>
        <w:jc w:val="center"/>
      </w:pPr>
      <w:r>
        <w:t xml:space="preserve">UITF Wastewater </w:t>
      </w:r>
      <w:proofErr w:type="spellStart"/>
      <w:r>
        <w:t>Irradation</w:t>
      </w:r>
      <w:proofErr w:type="spellEnd"/>
      <w:r>
        <w:t xml:space="preserve"> Experiment</w:t>
      </w:r>
    </w:p>
    <w:p w:rsidR="00BE355E" w:rsidRDefault="00442D17">
      <w:pPr>
        <w:pStyle w:val="Standard"/>
        <w:jc w:val="center"/>
      </w:pPr>
      <w:r>
        <w:t>Experimental Readiness Review</w:t>
      </w:r>
    </w:p>
    <w:p w:rsidR="00BE355E" w:rsidRDefault="00442D17">
      <w:pPr>
        <w:pStyle w:val="Standard"/>
        <w:jc w:val="center"/>
      </w:pPr>
      <w:r>
        <w:t>Charge for the Review Committee</w:t>
      </w:r>
    </w:p>
    <w:p w:rsidR="00BE355E" w:rsidRDefault="00BE355E">
      <w:pPr>
        <w:pStyle w:val="Standard"/>
      </w:pPr>
    </w:p>
    <w:p w:rsidR="00BE355E" w:rsidRDefault="00442D17">
      <w:pPr>
        <w:pStyle w:val="Standard"/>
        <w:numPr>
          <w:ilvl w:val="0"/>
          <w:numId w:val="2"/>
        </w:numPr>
      </w:pPr>
      <w:r>
        <w:t>Introduction</w:t>
      </w:r>
    </w:p>
    <w:p w:rsidR="00BE355E" w:rsidRDefault="00442D17">
      <w:pPr>
        <w:pStyle w:val="Standard"/>
      </w:pPr>
      <w:r>
        <w:t xml:space="preserve">The purpose of this review is the evaluation of the first stage of a </w:t>
      </w:r>
      <w:r>
        <w:t xml:space="preserve">TJNAF Laboratory-Directed Research and Development (LDRD) project for the examination of the Accelerator-driven treatment of wastewater. (Principal Investigators: Fay Hannon / Gianluigi </w:t>
      </w:r>
      <w:proofErr w:type="spellStart"/>
      <w:r>
        <w:t>Ciovati</w:t>
      </w:r>
      <w:proofErr w:type="spellEnd"/>
      <w:r>
        <w:t>) This initial study will examine the treatment of water sample</w:t>
      </w:r>
      <w:r>
        <w:t xml:space="preserve">s with varying quantities of a compound of interest – 1,4-dioxane – with an electron beam of not more than 10 MeV and 200 </w:t>
      </w:r>
      <w:proofErr w:type="spellStart"/>
      <w:r>
        <w:t>nA</w:t>
      </w:r>
      <w:proofErr w:type="spellEnd"/>
      <w:r>
        <w:t xml:space="preserve"> subject to appropriate shielding. Success in this first stage of experimentation is dictated by the attenuation of the concentratio</w:t>
      </w:r>
      <w:r>
        <w:t>n of the trial compound in vitro to the irradiated target sample.</w:t>
      </w:r>
    </w:p>
    <w:p w:rsidR="00BE355E" w:rsidRDefault="00BE355E">
      <w:pPr>
        <w:pStyle w:val="Standard"/>
      </w:pPr>
    </w:p>
    <w:p w:rsidR="00BE355E" w:rsidRDefault="00442D17">
      <w:pPr>
        <w:pStyle w:val="Standard"/>
        <w:numPr>
          <w:ilvl w:val="0"/>
          <w:numId w:val="2"/>
        </w:numPr>
      </w:pPr>
      <w:r>
        <w:t>Charge</w:t>
      </w:r>
    </w:p>
    <w:p w:rsidR="00BE355E" w:rsidRDefault="00442D17">
      <w:pPr>
        <w:pStyle w:val="Standard"/>
        <w:ind w:left="709"/>
        <w:rPr>
          <w:color w:val="000000"/>
        </w:rPr>
      </w:pPr>
      <w:r>
        <w:rPr>
          <w:rFonts w:eastAsia="CIDFont+F1" w:cs="CIDFont+F1"/>
          <w:color w:val="000000"/>
        </w:rPr>
        <w:t>The review committee is requested to review the integration of the various components based on the material prepared and presented. In addition to making comments and recommendation</w:t>
      </w:r>
      <w:r>
        <w:rPr>
          <w:rFonts w:eastAsia="CIDFont+F1" w:cs="CIDFont+F1"/>
          <w:color w:val="000000"/>
        </w:rPr>
        <w:t>s on this broad view, the committee should address the following charge questions:</w:t>
      </w:r>
    </w:p>
    <w:p w:rsidR="00BE355E" w:rsidRDefault="00BE355E">
      <w:pPr>
        <w:pStyle w:val="Standard"/>
        <w:rPr>
          <w:rFonts w:eastAsia="Calibri" w:cs="Calibri"/>
          <w:color w:val="000000"/>
        </w:rPr>
      </w:pPr>
    </w:p>
    <w:p w:rsidR="00BE355E" w:rsidRDefault="00442D17">
      <w:pPr>
        <w:pStyle w:val="ListParagraph"/>
        <w:numPr>
          <w:ilvl w:val="0"/>
          <w:numId w:val="3"/>
        </w:num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What is the present status of the UITF, and is it</w:t>
      </w:r>
      <w:r>
        <w:rPr>
          <w:rFonts w:eastAsia="Calibri" w:cs="Calibri"/>
          <w:color w:val="000000"/>
        </w:rPr>
        <w:t xml:space="preserve"> conducive both in facility and schedule to the operation of this experiment? (Specifically, with respect to shielding, SRF</w:t>
      </w:r>
      <w:r>
        <w:rPr>
          <w:rFonts w:eastAsia="Calibri" w:cs="Calibri"/>
          <w:color w:val="000000"/>
        </w:rPr>
        <w:t>, and cryogenics...)</w:t>
      </w:r>
    </w:p>
    <w:p w:rsidR="00BE355E" w:rsidRDefault="00442D17">
      <w:pPr>
        <w:pStyle w:val="ListParagraph"/>
        <w:numPr>
          <w:ilvl w:val="0"/>
          <w:numId w:val="3"/>
        </w:num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Does the material presented herein provide sufficient information to evaluate the safe execution of the planned experiment?</w:t>
      </w:r>
    </w:p>
    <w:p w:rsidR="00BE355E" w:rsidRDefault="00442D17">
      <w:pPr>
        <w:pStyle w:val="ListParagraph"/>
        <w:numPr>
          <w:ilvl w:val="0"/>
          <w:numId w:val="3"/>
        </w:num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What are the goals of the experiment, and what defines success?</w:t>
      </w:r>
    </w:p>
    <w:p w:rsidR="00BE355E" w:rsidRDefault="00442D17">
      <w:pPr>
        <w:pStyle w:val="ListParagraph"/>
        <w:numPr>
          <w:ilvl w:val="0"/>
          <w:numId w:val="3"/>
        </w:num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Is the run plan sufficiently detailed for safe </w:t>
      </w:r>
      <w:r>
        <w:rPr>
          <w:rFonts w:eastAsia="Calibri" w:cs="Calibri"/>
          <w:color w:val="000000"/>
        </w:rPr>
        <w:t>and effective operation?</w:t>
      </w:r>
    </w:p>
    <w:p w:rsidR="00BE355E" w:rsidRDefault="00442D17">
      <w:pPr>
        <w:pStyle w:val="Standard"/>
        <w:numPr>
          <w:ilvl w:val="0"/>
          <w:numId w:val="3"/>
        </w:numPr>
        <w:autoSpaceDE w:val="0"/>
        <w:rPr>
          <w:rFonts w:eastAsia="CIDFont+F1" w:cs="CIDFont+F1"/>
          <w:color w:val="000000"/>
        </w:rPr>
      </w:pPr>
      <w:r>
        <w:rPr>
          <w:rFonts w:eastAsia="CIDFont+F1" w:cs="CIDFont+F1"/>
          <w:color w:val="000000"/>
        </w:rPr>
        <w:t xml:space="preserve">Are the roles and responsibilities of the </w:t>
      </w:r>
      <w:proofErr w:type="spellStart"/>
      <w:r>
        <w:rPr>
          <w:rFonts w:eastAsia="CIDFont+F1" w:cs="CIDFont+F1"/>
          <w:color w:val="000000"/>
        </w:rPr>
        <w:t>JLab</w:t>
      </w:r>
      <w:proofErr w:type="spellEnd"/>
      <w:r>
        <w:rPr>
          <w:rFonts w:eastAsia="CIDFont+F1" w:cs="CIDFont+F1"/>
          <w:color w:val="000000"/>
        </w:rPr>
        <w:t xml:space="preserve"> staff, specifically Accelerator and Engineering divisions, clearly defined for this beam run?</w:t>
      </w:r>
    </w:p>
    <w:p w:rsidR="00BE355E" w:rsidRDefault="00442D17">
      <w:pPr>
        <w:pStyle w:val="Standard"/>
        <w:numPr>
          <w:ilvl w:val="0"/>
          <w:numId w:val="3"/>
        </w:numPr>
        <w:autoSpaceDE w:val="0"/>
        <w:rPr>
          <w:rFonts w:eastAsia="CIDFont+F1" w:cs="CIDFont+F1"/>
          <w:color w:val="000000"/>
        </w:rPr>
      </w:pPr>
      <w:r>
        <w:rPr>
          <w:rFonts w:eastAsia="CIDFont+F1" w:cs="CIDFont+F1"/>
          <w:color w:val="000000"/>
        </w:rPr>
        <w:t>Will all work be documented and planned out within the framework of Jefferson Lab's work p</w:t>
      </w:r>
      <w:r>
        <w:rPr>
          <w:rFonts w:eastAsia="CIDFont+F1" w:cs="CIDFont+F1"/>
          <w:color w:val="000000"/>
        </w:rPr>
        <w:t>lanning and applicable safety documentation?</w:t>
      </w:r>
    </w:p>
    <w:p w:rsidR="00BE355E" w:rsidRDefault="00442D17">
      <w:pPr>
        <w:pStyle w:val="ListParagraph"/>
        <w:numPr>
          <w:ilvl w:val="0"/>
          <w:numId w:val="3"/>
        </w:numPr>
        <w:autoSpaceDE w:val="0"/>
        <w:rPr>
          <w:rFonts w:eastAsia="CIDFont+F1" w:cs="CIDFont+F1"/>
          <w:color w:val="000000"/>
        </w:rPr>
      </w:pPr>
      <w:r>
        <w:rPr>
          <w:rFonts w:eastAsia="CIDFont+F1" w:cs="CIDFont+F1"/>
          <w:color w:val="000000"/>
        </w:rPr>
        <w:t>Will this beam run be documented, planned, and executed in accordance with the UITF Operations Directives (UOD)?</w:t>
      </w:r>
    </w:p>
    <w:p w:rsidR="00BE355E" w:rsidRDefault="00442D17">
      <w:pPr>
        <w:pStyle w:val="ListParagraph"/>
        <w:numPr>
          <w:ilvl w:val="0"/>
          <w:numId w:val="3"/>
        </w:num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Will the target and associated diagnostics be ready to receive an electron beam of the scale </w:t>
      </w:r>
      <w:r>
        <w:rPr>
          <w:rFonts w:eastAsia="Calibri" w:cs="Calibri"/>
          <w:color w:val="000000"/>
        </w:rPr>
        <w:t>described?</w:t>
      </w:r>
    </w:p>
    <w:p w:rsidR="00BE355E" w:rsidRDefault="00442D17">
      <w:pPr>
        <w:pStyle w:val="ListParagraph"/>
        <w:numPr>
          <w:ilvl w:val="0"/>
          <w:numId w:val="3"/>
        </w:numPr>
        <w:autoSpaceDE w:val="0"/>
        <w:rPr>
          <w:color w:val="000000"/>
        </w:rPr>
      </w:pPr>
      <w:r>
        <w:rPr>
          <w:rFonts w:eastAsia="Calibri" w:cs="Calibri"/>
          <w:color w:val="000000"/>
        </w:rPr>
        <w:t>Is the materials handling plan appropriate, and does it adhere to both ALARA principals and JLAB environmental expectations?</w:t>
      </w:r>
    </w:p>
    <w:p w:rsidR="00BE355E" w:rsidRDefault="00442D17">
      <w:pPr>
        <w:pStyle w:val="ListParagraph"/>
        <w:numPr>
          <w:ilvl w:val="0"/>
          <w:numId w:val="3"/>
        </w:numPr>
        <w:autoSpaceDE w:val="0"/>
        <w:rPr>
          <w:color w:val="000000"/>
        </w:rPr>
      </w:pPr>
      <w:r>
        <w:rPr>
          <w:color w:val="000000"/>
        </w:rPr>
        <w:t xml:space="preserve">What is the status of the COO, ESAD, and OSPs documents, and are the specific procedures and documentation in place and </w:t>
      </w:r>
      <w:r>
        <w:rPr>
          <w:color w:val="000000"/>
        </w:rPr>
        <w:t>adequate to operate the experiment safely and efficiently</w:t>
      </w:r>
      <w:r>
        <w:rPr>
          <w:rFonts w:eastAsia="Calibri" w:cs="Calibri"/>
          <w:color w:val="000000"/>
        </w:rPr>
        <w:t>?</w:t>
      </w:r>
    </w:p>
    <w:p w:rsidR="00BE355E" w:rsidRDefault="00442D17">
      <w:pPr>
        <w:pStyle w:val="ListParagraph"/>
        <w:numPr>
          <w:ilvl w:val="0"/>
          <w:numId w:val="3"/>
        </w:num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Have lessons learned from earlier UITF experiments been sufficiently addressed and applied to the execution of this experiment?</w:t>
      </w:r>
    </w:p>
    <w:p w:rsidR="00BE355E" w:rsidRDefault="00442D17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rFonts w:eastAsia="Calibri" w:cs="Calibri"/>
          <w:color w:val="000000"/>
        </w:rPr>
        <w:t>Are special emergency response guidelines needed for this beam run? I</w:t>
      </w:r>
      <w:r>
        <w:rPr>
          <w:rFonts w:eastAsia="Calibri" w:cs="Calibri"/>
          <w:color w:val="000000"/>
        </w:rPr>
        <w:t>f so, are the plans to train laboratory staff on these new guidelines adequate?</w:t>
      </w:r>
    </w:p>
    <w:p w:rsidR="00BE355E" w:rsidRDefault="00BE355E">
      <w:pPr>
        <w:pStyle w:val="Standard"/>
        <w:autoSpaceDE w:val="0"/>
        <w:rPr>
          <w:rFonts w:eastAsia="CIDFont+F1" w:cs="CIDFont+F1"/>
          <w:color w:val="000000"/>
        </w:rPr>
      </w:pPr>
    </w:p>
    <w:p w:rsidR="00BE355E" w:rsidRDefault="00442D17">
      <w:pPr>
        <w:pStyle w:val="Standard"/>
        <w:autoSpaceDE w:val="0"/>
        <w:ind w:left="709"/>
        <w:rPr>
          <w:rFonts w:eastAsia="CIDFont+F1" w:cs="CIDFont+F1"/>
          <w:color w:val="000000"/>
        </w:rPr>
      </w:pPr>
      <w:r>
        <w:rPr>
          <w:rFonts w:eastAsia="CIDFont+F1" w:cs="CIDFont+F1"/>
          <w:color w:val="000000"/>
        </w:rPr>
        <w:t xml:space="preserve">A presentation of the essential conclusions of the review is requested at the </w:t>
      </w:r>
      <w:proofErr w:type="spellStart"/>
      <w:r>
        <w:rPr>
          <w:rFonts w:eastAsia="CIDFont+F1" w:cs="CIDFont+F1"/>
          <w:color w:val="000000"/>
        </w:rPr>
        <w:t>closeout</w:t>
      </w:r>
      <w:proofErr w:type="spellEnd"/>
      <w:r>
        <w:rPr>
          <w:rFonts w:eastAsia="CIDFont+F1" w:cs="CIDFont+F1"/>
          <w:color w:val="000000"/>
        </w:rPr>
        <w:t xml:space="preserve"> of the ERR, with the committee requested to deliver a written report within two weeks fo</w:t>
      </w:r>
      <w:r>
        <w:rPr>
          <w:rFonts w:eastAsia="CIDFont+F1" w:cs="CIDFont+F1"/>
          <w:color w:val="000000"/>
        </w:rPr>
        <w:t>llowing its completion.</w:t>
      </w:r>
    </w:p>
    <w:p w:rsidR="00BE355E" w:rsidRDefault="00BE355E">
      <w:pPr>
        <w:pStyle w:val="Standard"/>
        <w:ind w:left="709"/>
        <w:rPr>
          <w:rFonts w:eastAsia="Calibri" w:cs="Calibri"/>
          <w:color w:val="FF3333"/>
        </w:rPr>
      </w:pPr>
    </w:p>
    <w:p w:rsidR="00BE355E" w:rsidRDefault="00BE355E">
      <w:pPr>
        <w:pStyle w:val="Standard"/>
        <w:ind w:left="709"/>
      </w:pPr>
    </w:p>
    <w:p w:rsidR="00BE355E" w:rsidRDefault="00442D17">
      <w:pPr>
        <w:pStyle w:val="Standard"/>
        <w:numPr>
          <w:ilvl w:val="0"/>
          <w:numId w:val="2"/>
        </w:numPr>
      </w:pPr>
      <w:r>
        <w:lastRenderedPageBreak/>
        <w:t>Committee</w:t>
      </w:r>
    </w:p>
    <w:p w:rsidR="00BE355E" w:rsidRDefault="00442D17">
      <w:pPr>
        <w:pStyle w:val="Standard"/>
      </w:pPr>
      <w:r>
        <w:t>The following persons have agreed to serve as members of the ERR committee for the purpose of the execution of this review:</w:t>
      </w:r>
    </w:p>
    <w:p w:rsidR="00BE355E" w:rsidRDefault="00BE355E">
      <w:pPr>
        <w:pStyle w:val="Standard"/>
      </w:pPr>
    </w:p>
    <w:p w:rsidR="00442D17" w:rsidRDefault="00442D17" w:rsidP="00442D17">
      <w:pPr>
        <w:pStyle w:val="Standard"/>
        <w:numPr>
          <w:ilvl w:val="0"/>
          <w:numId w:val="4"/>
        </w:numPr>
      </w:pPr>
      <w:r>
        <w:t>Harry Fanning (Accelerator Division Safety Officer)</w:t>
      </w:r>
      <w:r>
        <w:t xml:space="preserve"> – ERR Chairperson</w:t>
      </w:r>
      <w:bookmarkStart w:id="0" w:name="_GoBack"/>
      <w:bookmarkEnd w:id="0"/>
    </w:p>
    <w:p w:rsidR="00BE355E" w:rsidRDefault="00442D17">
      <w:pPr>
        <w:pStyle w:val="Standard"/>
        <w:numPr>
          <w:ilvl w:val="0"/>
          <w:numId w:val="4"/>
        </w:numPr>
      </w:pPr>
      <w:r>
        <w:t xml:space="preserve">Joe </w:t>
      </w:r>
      <w:proofErr w:type="spellStart"/>
      <w:r>
        <w:t>Grames</w:t>
      </w:r>
      <w:proofErr w:type="spellEnd"/>
      <w:r>
        <w:t xml:space="preserve"> (Center for Injectors &amp; Sources)</w:t>
      </w:r>
    </w:p>
    <w:p w:rsidR="00BE355E" w:rsidRDefault="00442D17">
      <w:pPr>
        <w:pStyle w:val="Standard"/>
        <w:numPr>
          <w:ilvl w:val="0"/>
          <w:numId w:val="4"/>
        </w:numPr>
      </w:pPr>
      <w:r>
        <w:t xml:space="preserve">Alicia </w:t>
      </w:r>
      <w:proofErr w:type="spellStart"/>
      <w:r>
        <w:t>Hofler</w:t>
      </w:r>
      <w:proofErr w:type="spellEnd"/>
      <w:r>
        <w:t xml:space="preserve"> (Accelerator Injector Group)</w:t>
      </w:r>
    </w:p>
    <w:p w:rsidR="00BE355E" w:rsidRDefault="00442D17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Mikhail </w:t>
      </w:r>
      <w:proofErr w:type="spellStart"/>
      <w:r>
        <w:rPr>
          <w:color w:val="000000"/>
        </w:rPr>
        <w:t>Kostin</w:t>
      </w:r>
      <w:proofErr w:type="spellEnd"/>
      <w:r>
        <w:t xml:space="preserve"> (Radiation Control Group)</w:t>
      </w:r>
    </w:p>
    <w:p w:rsidR="00BE355E" w:rsidRDefault="00442D17">
      <w:pPr>
        <w:pStyle w:val="Standard"/>
        <w:numPr>
          <w:ilvl w:val="0"/>
          <w:numId w:val="4"/>
        </w:numPr>
      </w:pPr>
      <w:r>
        <w:t>Bob May (Environmental Health, Safety, &amp; Quality Division)</w:t>
      </w:r>
    </w:p>
    <w:p w:rsidR="00BE355E" w:rsidRDefault="00442D17">
      <w:pPr>
        <w:pStyle w:val="Standard"/>
        <w:numPr>
          <w:ilvl w:val="0"/>
          <w:numId w:val="4"/>
        </w:numPr>
      </w:pPr>
      <w:r>
        <w:t>Daniel Moser</w:t>
      </w:r>
      <w:bookmarkStart w:id="1" w:name="Bookmark"/>
      <w:bookmarkEnd w:id="1"/>
      <w:r>
        <w:t xml:space="preserve"> (Accelerator Operations)</w:t>
      </w:r>
    </w:p>
    <w:p w:rsidR="00BE355E" w:rsidRDefault="00442D17">
      <w:pPr>
        <w:pStyle w:val="Standard"/>
        <w:numPr>
          <w:ilvl w:val="0"/>
          <w:numId w:val="4"/>
        </w:numPr>
      </w:pPr>
      <w:r>
        <w:t>Dave Meekins (Physics Division: Target Group)</w:t>
      </w:r>
    </w:p>
    <w:p w:rsidR="00BE355E" w:rsidRDefault="00442D17">
      <w:pPr>
        <w:pStyle w:val="Standard"/>
        <w:numPr>
          <w:ilvl w:val="0"/>
          <w:numId w:val="4"/>
        </w:numPr>
      </w:pPr>
      <w:r>
        <w:t>Yves Roblin (Center for the Advanced Study of Accelerators)</w:t>
      </w:r>
    </w:p>
    <w:p w:rsidR="00BE355E" w:rsidRDefault="00442D17">
      <w:pPr>
        <w:pStyle w:val="Standard"/>
        <w:numPr>
          <w:ilvl w:val="0"/>
          <w:numId w:val="4"/>
        </w:numPr>
      </w:pPr>
      <w:r>
        <w:t>Mark Wiseman (Engineering Division)</w:t>
      </w:r>
    </w:p>
    <w:p w:rsidR="00BE355E" w:rsidRDefault="00BE355E">
      <w:pPr>
        <w:pStyle w:val="Standard"/>
      </w:pPr>
    </w:p>
    <w:p w:rsidR="00BE355E" w:rsidRDefault="00442D17">
      <w:pPr>
        <w:pStyle w:val="Standard"/>
        <w:numPr>
          <w:ilvl w:val="0"/>
          <w:numId w:val="2"/>
        </w:numPr>
      </w:pPr>
      <w:r>
        <w:t>Enclosure to Committee Members in Advance of the Review</w:t>
      </w:r>
    </w:p>
    <w:p w:rsidR="00BE355E" w:rsidRDefault="00442D17">
      <w:pPr>
        <w:pStyle w:val="Standard"/>
        <w:numPr>
          <w:ilvl w:val="0"/>
          <w:numId w:val="5"/>
        </w:numPr>
      </w:pPr>
      <w:r>
        <w:t>ES&amp;H Manual Section 3130</w:t>
      </w:r>
    </w:p>
    <w:p w:rsidR="00BE355E" w:rsidRDefault="00442D17">
      <w:pPr>
        <w:pStyle w:val="Standard"/>
        <w:numPr>
          <w:ilvl w:val="0"/>
          <w:numId w:val="5"/>
        </w:numPr>
      </w:pPr>
      <w:r>
        <w:t>UITF Operations Directive (UOD)</w:t>
      </w:r>
    </w:p>
    <w:p w:rsidR="00BE355E" w:rsidRDefault="00442D17">
      <w:pPr>
        <w:pStyle w:val="Standard"/>
        <w:numPr>
          <w:ilvl w:val="0"/>
          <w:numId w:val="5"/>
        </w:numPr>
      </w:pPr>
      <w:r>
        <w:t>FSAD/ASE</w:t>
      </w:r>
    </w:p>
    <w:p w:rsidR="00BE355E" w:rsidRDefault="00442D17">
      <w:pPr>
        <w:pStyle w:val="Standard"/>
        <w:numPr>
          <w:ilvl w:val="0"/>
          <w:numId w:val="5"/>
        </w:numPr>
      </w:pPr>
      <w:r>
        <w:t>Conduct of Operations (COO) document for the experiment</w:t>
      </w:r>
    </w:p>
    <w:p w:rsidR="00BE355E" w:rsidRDefault="00442D17">
      <w:pPr>
        <w:pStyle w:val="Standard"/>
        <w:numPr>
          <w:ilvl w:val="0"/>
          <w:numId w:val="5"/>
        </w:numPr>
      </w:pPr>
      <w:r>
        <w:t>Experimental Safety Assessment Document (ESAD)</w:t>
      </w:r>
    </w:p>
    <w:p w:rsidR="00BE355E" w:rsidRDefault="00442D17">
      <w:pPr>
        <w:pStyle w:val="Standard"/>
        <w:numPr>
          <w:ilvl w:val="0"/>
          <w:numId w:val="5"/>
        </w:numPr>
      </w:pPr>
      <w:r>
        <w:t>Radiation</w:t>
      </w:r>
      <w:r>
        <w:t xml:space="preserve"> Safety Assessment Document (RSAD)</w:t>
      </w:r>
    </w:p>
    <w:p w:rsidR="00BE355E" w:rsidRDefault="00442D17">
      <w:pPr>
        <w:pStyle w:val="Standard"/>
        <w:numPr>
          <w:ilvl w:val="0"/>
          <w:numId w:val="5"/>
        </w:numPr>
      </w:pPr>
      <w:r>
        <w:t>Risk Mitigation Document</w:t>
      </w:r>
    </w:p>
    <w:sectPr w:rsidR="00BE355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2D17">
      <w:r>
        <w:separator/>
      </w:r>
    </w:p>
  </w:endnote>
  <w:endnote w:type="continuationSeparator" w:id="0">
    <w:p w:rsidR="00000000" w:rsidRDefault="0044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2D17">
      <w:r>
        <w:rPr>
          <w:color w:val="000000"/>
        </w:rPr>
        <w:separator/>
      </w:r>
    </w:p>
  </w:footnote>
  <w:footnote w:type="continuationSeparator" w:id="0">
    <w:p w:rsidR="00000000" w:rsidRDefault="0044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746"/>
    <w:multiLevelType w:val="multilevel"/>
    <w:tmpl w:val="A4E0A490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F8568C4"/>
    <w:multiLevelType w:val="multilevel"/>
    <w:tmpl w:val="E4DC8EBE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55441ED"/>
    <w:multiLevelType w:val="multilevel"/>
    <w:tmpl w:val="D2A22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72502EB"/>
    <w:multiLevelType w:val="multilevel"/>
    <w:tmpl w:val="53F43B90"/>
    <w:lvl w:ilvl="0">
      <w:numFmt w:val="bullet"/>
      <w:lvlText w:val="•"/>
      <w:lvlJc w:val="left"/>
      <w:pPr>
        <w:ind w:left="213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9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5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1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7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3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9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5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18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24874D9"/>
    <w:multiLevelType w:val="multilevel"/>
    <w:tmpl w:val="D432015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355E"/>
    <w:rsid w:val="00442D17"/>
    <w:rsid w:val="00B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B565"/>
  <w15:docId w15:val="{36FFD6CC-84BA-4A3A-A1A0-D657CAC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McCaughan</dc:creator>
  <cp:lastModifiedBy>Mike McCaughan</cp:lastModifiedBy>
  <cp:revision>2</cp:revision>
  <dcterms:created xsi:type="dcterms:W3CDTF">2021-02-11T20:38:00Z</dcterms:created>
  <dcterms:modified xsi:type="dcterms:W3CDTF">2021-02-11T20:38:00Z</dcterms:modified>
</cp:coreProperties>
</file>